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19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60905" cy="78105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1889125</wp:posOffset>
                </wp:positionH>
                <wp:positionV relativeFrom="paragraph">
                  <wp:posOffset>142875</wp:posOffset>
                </wp:positionV>
                <wp:extent cx="3782060" cy="58420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584200"/>
                        </a:xfrm>
                        <a:prstGeom prst="rect"/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84" w:after="0"/>
                              <w:ind w:left="285" w:right="0" w:firstLine="102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30"/>
                              </w:rPr>
                              <w:t>Comment compléter le document de déclaration de séance occasionnelle?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97.8pt;height:46pt;mso-wrap-distance-left:0pt;mso-wrap-distance-right:0pt;mso-wrap-distance-top:0pt;mso-wrap-distance-bottom:0pt;margin-top:11.25pt;mso-position-vertical-relative:text;margin-left:148.75pt;mso-position-horizontal-relative:page">
                <v:textbox inset="0in,0in,0in,0in">
                  <w:txbxContent>
                    <w:p>
                      <w:pPr>
                        <w:pStyle w:val="Contenudecadre"/>
                        <w:spacing w:before="84" w:after="0"/>
                        <w:ind w:left="285" w:right="0" w:firstLine="102"/>
                        <w:jc w:val="left"/>
                        <w:rPr/>
                      </w:pPr>
                      <w:r>
                        <w:rPr>
                          <w:b/>
                          <w:sz w:val="30"/>
                        </w:rPr>
                        <w:t>Comment compléter le document de déclaration de séance occasionnelle?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spacing w:before="6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before="91" w:after="0"/>
        <w:ind w:left="2178" w:right="0" w:hanging="0"/>
        <w:jc w:val="left"/>
        <w:rPr>
          <w:b/>
          <w:b/>
          <w:sz w:val="28"/>
        </w:rPr>
      </w:pPr>
      <w:r>
        <w:rPr>
          <w:b/>
          <w:sz w:val="28"/>
          <w:u w:val="single"/>
        </w:rPr>
        <w:t>Notice explicative pour les organisateurs occasionnels</w: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sdetexte"/>
        <w:spacing w:before="91" w:after="0"/>
        <w:ind w:left="1016" w:right="0" w:hanging="0"/>
        <w:jc w:val="both"/>
        <w:rPr/>
      </w:pPr>
      <w:r>
        <w:rPr/>
        <w:t>L'organisateur doit déclarer sa séance au préalable.</w:t>
      </w:r>
    </w:p>
    <w:p>
      <w:pPr>
        <w:pStyle w:val="Corpsdetexte"/>
        <w:spacing w:before="1" w:after="0"/>
        <w:ind w:left="1016" w:right="115" w:hanging="0"/>
        <w:jc w:val="both"/>
        <w:rPr/>
      </w:pPr>
      <w:r>
        <w:rPr/>
        <w:t>Pour cela, il suffit de renvoyer à la SACENC le document de déclaration correspondant au type de la séance, en prenant soin de compléter les informations demandées.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5" w:after="0"/>
        <w:rPr>
          <w:sz w:val="24"/>
        </w:rPr>
      </w:pPr>
      <w:r>
        <w:rPr>
          <w:sz w:val="24"/>
        </w:rPr>
      </w:r>
    </w:p>
    <w:p>
      <w:pPr>
        <w:pStyle w:val="Corpsdetexte"/>
        <w:spacing w:before="1" w:after="0"/>
        <w:ind w:left="1016" w:right="0" w:hanging="0"/>
        <w:jc w:val="both"/>
        <w:rPr/>
      </w:pPr>
      <w:r>
        <w:rPr>
          <w:u w:val="single"/>
        </w:rPr>
        <w:t>Page 1 : La manifestation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1735" w:leader="none"/>
          <w:tab w:val="left" w:pos="1736" w:leader="none"/>
        </w:tabs>
        <w:spacing w:lineRule="auto" w:line="240" w:before="91" w:after="0"/>
        <w:ind w:left="1736" w:right="0" w:hanging="360"/>
        <w:jc w:val="left"/>
        <w:rPr>
          <w:sz w:val="26"/>
        </w:rPr>
      </w:pPr>
      <w:r>
        <w:rPr>
          <w:sz w:val="26"/>
        </w:rPr>
        <w:t>Renseignements concernant</w:t>
      </w:r>
      <w:r>
        <w:rPr>
          <w:spacing w:val="-1"/>
          <w:sz w:val="26"/>
        </w:rPr>
        <w:t>l'organisateur</w:t>
      </w:r>
    </w:p>
    <w:p>
      <w:pPr>
        <w:pStyle w:val="ListParagraph"/>
        <w:numPr>
          <w:ilvl w:val="0"/>
          <w:numId w:val="1"/>
        </w:numPr>
        <w:tabs>
          <w:tab w:val="left" w:pos="1735" w:leader="none"/>
          <w:tab w:val="left" w:pos="1736" w:leader="none"/>
        </w:tabs>
        <w:spacing w:lineRule="auto" w:line="240" w:before="7" w:after="0"/>
        <w:ind w:left="1736" w:right="0" w:hanging="360"/>
        <w:jc w:val="left"/>
        <w:rPr>
          <w:sz w:val="26"/>
        </w:rPr>
      </w:pPr>
      <w:r>
        <w:rPr>
          <w:sz w:val="26"/>
        </w:rPr>
        <w:t>Caractéristiques d'organisation</w:t>
      </w:r>
    </w:p>
    <w:p>
      <w:pPr>
        <w:pStyle w:val="ListParagraph"/>
        <w:numPr>
          <w:ilvl w:val="0"/>
          <w:numId w:val="1"/>
        </w:numPr>
        <w:tabs>
          <w:tab w:val="left" w:pos="1735" w:leader="none"/>
          <w:tab w:val="left" w:pos="1736" w:leader="none"/>
        </w:tabs>
        <w:spacing w:lineRule="auto" w:line="240" w:before="6" w:after="0"/>
        <w:ind w:left="1736" w:right="0" w:hanging="360"/>
        <w:jc w:val="left"/>
        <w:rPr>
          <w:sz w:val="26"/>
        </w:rPr>
      </w:pPr>
      <w:r>
        <w:rPr>
          <w:sz w:val="26"/>
        </w:rPr>
        <w:t>Signature de</w:t>
      </w:r>
      <w:r>
        <w:rPr>
          <w:spacing w:val="1"/>
          <w:sz w:val="26"/>
        </w:rPr>
        <w:t>l'organisateur</w:t>
      </w:r>
    </w:p>
    <w:p>
      <w:pPr>
        <w:pStyle w:val="ListParagraph"/>
        <w:numPr>
          <w:ilvl w:val="0"/>
          <w:numId w:val="1"/>
        </w:numPr>
        <w:tabs>
          <w:tab w:val="left" w:pos="1735" w:leader="none"/>
          <w:tab w:val="left" w:pos="1736" w:leader="none"/>
        </w:tabs>
        <w:spacing w:lineRule="auto" w:line="240" w:before="7" w:after="0"/>
        <w:ind w:left="1736" w:right="0" w:hanging="360"/>
        <w:jc w:val="left"/>
        <w:rPr>
          <w:sz w:val="26"/>
        </w:rPr>
      </w:pPr>
      <w:r>
        <w:rPr>
          <w:sz w:val="26"/>
        </w:rPr>
        <w:t>Montant des dépenses engagées</w:t>
      </w:r>
    </w:p>
    <w:p>
      <w:pPr>
        <w:pStyle w:val="Corpsdetexte"/>
        <w:rPr>
          <w:sz w:val="32"/>
        </w:rPr>
      </w:pPr>
      <w:r>
        <w:rPr>
          <w:sz w:val="32"/>
        </w:rPr>
      </w:r>
    </w:p>
    <w:p>
      <w:pPr>
        <w:pStyle w:val="Corpsdetexte"/>
        <w:spacing w:before="218" w:after="0"/>
        <w:ind w:left="1016" w:right="0" w:hanging="0"/>
        <w:rPr/>
      </w:pPr>
      <w:r>
        <w:rPr>
          <w:u w:val="single"/>
        </w:rPr>
        <w:t>Page 2 : État des dépenses et des recettes réalisées</w:t>
      </w:r>
    </w:p>
    <w:p>
      <w:pPr>
        <w:pStyle w:val="Corpsdetexte"/>
        <w:spacing w:before="2" w:after="0"/>
        <w:rPr>
          <w:sz w:val="18"/>
        </w:rPr>
      </w:pPr>
      <w:r>
        <w:rPr>
          <w:sz w:val="18"/>
        </w:rPr>
      </w:r>
    </w:p>
    <w:p>
      <w:pPr>
        <w:pStyle w:val="Corpsdetexte"/>
        <w:spacing w:before="92" w:after="0"/>
        <w:ind w:left="1016" w:right="0" w:hanging="0"/>
        <w:rPr/>
      </w:pPr>
      <w:r>
        <w:rPr/>
        <w:t>Une fois la manifestation achevée, l'organisateur doit déclarer son bilan des dépenses et des recettes réalisées au cours de la manifestation.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4" w:after="0"/>
        <w:rPr>
          <w:sz w:val="24"/>
        </w:rPr>
      </w:pPr>
      <w:r>
        <w:rPr>
          <w:sz w:val="24"/>
        </w:rPr>
      </w:r>
    </w:p>
    <w:p>
      <w:pPr>
        <w:pStyle w:val="Corpsdetexte"/>
        <w:ind w:left="1016" w:right="0" w:hanging="0"/>
        <w:rPr/>
      </w:pPr>
      <w:r>
        <w:rPr>
          <w:u w:val="single"/>
        </w:rPr>
        <w:t>Page 3 et 4 : Programmes des œuvres diffusées</w:t>
      </w:r>
    </w:p>
    <w:p>
      <w:pPr>
        <w:pStyle w:val="Corpsdetexte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1" w:after="0"/>
        <w:ind w:left="1016" w:right="123" w:hanging="0"/>
        <w:jc w:val="both"/>
        <w:rPr>
          <w:b/>
          <w:b/>
          <w:sz w:val="26"/>
        </w:rPr>
      </w:pPr>
      <w:r>
        <w:rPr>
          <w:b/>
          <w:sz w:val="26"/>
        </w:rPr>
        <w:t>Le programme des œuvres musicales diffusées est essentiel au calcul de la redevance et à la répartition des droits d'auteur.</w:t>
      </w:r>
    </w:p>
    <w:p>
      <w:pPr>
        <w:pStyle w:val="Corpsdetexte"/>
        <w:spacing w:before="2" w:after="0"/>
        <w:ind w:left="1016" w:right="115" w:hanging="0"/>
        <w:jc w:val="both"/>
        <w:rPr/>
      </w:pPr>
      <w:r>
        <w:rPr/>
        <w:t>Vous pouvez compléter le tableau en page 4, ou nous envoyer la liste de morceaux sur papier libre en prenant soin de préciser le titre, les auteurs-compositeurs et la durée.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2134" w:right="0" w:hanging="0"/>
        <w:jc w:val="left"/>
        <w:rPr>
          <w:i/>
          <w:i/>
          <w:sz w:val="26"/>
        </w:rPr>
      </w:pPr>
      <w:r>
        <w:rPr>
          <w:i/>
          <w:sz w:val="26"/>
        </w:rPr>
        <w:t>N'hésitez pas à contacter la SACENC pour tout renseignement !</w:t>
      </w:r>
    </w:p>
    <w:p>
      <w:pPr>
        <w:pStyle w:val="Corpsdetexte"/>
        <w:spacing w:before="1" w:after="0"/>
        <w:rPr>
          <w:i/>
          <w:i/>
        </w:rPr>
      </w:pPr>
      <w:r>
        <w:rPr>
          <w:i/>
        </w:rPr>
      </w:r>
    </w:p>
    <w:p>
      <w:pPr>
        <w:pStyle w:val="Corpsdetexte"/>
        <w:spacing w:before="1" w:after="0"/>
        <w:ind w:left="5070" w:right="4077" w:firstLine="188"/>
        <w:rPr/>
      </w:pPr>
      <w:r>
        <w:rPr/>
        <w:t>SACENC Tél : 263-264</w:t>
      </w:r>
    </w:p>
    <w:p>
      <w:pPr>
        <w:pStyle w:val="Corpsdetexte"/>
        <w:spacing w:before="2" w:after="0"/>
        <w:ind w:left="4222" w:right="0" w:hanging="0"/>
        <w:rPr/>
      </w:pPr>
      <w:r>
        <w:rPr>
          <w:color w:val="00007F"/>
          <w:u w:val="single" w:color="00007F"/>
        </w:rPr>
        <w:t>sylvain.paget</w:t>
      </w:r>
      <w:hyperlink r:id="rId3">
        <w:r>
          <w:rPr>
            <w:rStyle w:val="ListLabel10"/>
            <w:color w:val="00007F"/>
            <w:u w:val="single" w:color="00007F"/>
          </w:rPr>
          <w:t>@sacenc.nc</w:t>
        </w:r>
      </w:hyperlink>
    </w:p>
    <w:sectPr>
      <w:type w:val="nextPage"/>
      <w:pgSz w:w="11906" w:h="16838"/>
      <w:pgMar w:left="120" w:right="1020" w:header="0" w:top="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–"/>
      <w:lvlJc w:val="left"/>
      <w:pPr>
        <w:ind w:left="1736" w:hanging="360"/>
      </w:pPr>
      <w:rPr>
        <w:rFonts w:ascii="Calibri" w:hAnsi="Calibri" w:cs="Calibri" w:hint="default"/>
        <w:sz w:val="26"/>
        <w:szCs w:val="26"/>
        <w:w w:val="100"/>
        <w:rFonts w:cs="Calibri"/>
        <w:lang w:val="fr-FR" w:eastAsia="fr-FR" w:bidi="fr-FR"/>
      </w:rPr>
    </w:lvl>
    <w:lvl w:ilvl="1">
      <w:start w:val="0"/>
      <w:numFmt w:val="bullet"/>
      <w:lvlText w:val=""/>
      <w:lvlJc w:val="left"/>
      <w:pPr>
        <w:ind w:left="2642" w:hanging="360"/>
      </w:pPr>
      <w:rPr>
        <w:rFonts w:ascii="Symbol" w:hAnsi="Symbol" w:cs="Symbol" w:hint="default"/>
        <w:lang w:val="fr-FR" w:eastAsia="fr-FR" w:bidi="fr-FR"/>
      </w:rPr>
    </w:lvl>
    <w:lvl w:ilvl="2">
      <w:start w:val="0"/>
      <w:numFmt w:val="bullet"/>
      <w:lvlText w:val=""/>
      <w:lvlJc w:val="left"/>
      <w:pPr>
        <w:ind w:left="3544" w:hanging="360"/>
      </w:pPr>
      <w:rPr>
        <w:rFonts w:ascii="Symbol" w:hAnsi="Symbol" w:cs="Symbol" w:hint="default"/>
        <w:lang w:val="fr-FR" w:eastAsia="fr-FR" w:bidi="fr-FR"/>
      </w:rPr>
    </w:lvl>
    <w:lvl w:ilvl="3">
      <w:start w:val="0"/>
      <w:numFmt w:val="bullet"/>
      <w:lvlText w:val=""/>
      <w:lvlJc w:val="left"/>
      <w:pPr>
        <w:ind w:left="4446" w:hanging="360"/>
      </w:pPr>
      <w:rPr>
        <w:rFonts w:ascii="Symbol" w:hAnsi="Symbol" w:cs="Symbol" w:hint="default"/>
        <w:lang w:val="fr-FR" w:eastAsia="fr-FR" w:bidi="fr-FR"/>
      </w:rPr>
    </w:lvl>
    <w:lvl w:ilvl="4">
      <w:start w:val="0"/>
      <w:numFmt w:val="bullet"/>
      <w:lvlText w:val=""/>
      <w:lvlJc w:val="left"/>
      <w:pPr>
        <w:ind w:left="5348" w:hanging="360"/>
      </w:pPr>
      <w:rPr>
        <w:rFonts w:ascii="Symbol" w:hAnsi="Symbol" w:cs="Symbol" w:hint="default"/>
        <w:lang w:val="fr-FR" w:eastAsia="fr-FR" w:bidi="fr-FR"/>
      </w:rPr>
    </w:lvl>
    <w:lvl w:ilvl="5">
      <w:start w:val="0"/>
      <w:numFmt w:val="bullet"/>
      <w:lvlText w:val=""/>
      <w:lvlJc w:val="left"/>
      <w:pPr>
        <w:ind w:left="6250" w:hanging="360"/>
      </w:pPr>
      <w:rPr>
        <w:rFonts w:ascii="Symbol" w:hAnsi="Symbol" w:cs="Symbol" w:hint="default"/>
        <w:lang w:val="fr-FR" w:eastAsia="fr-FR" w:bidi="fr-FR"/>
      </w:rPr>
    </w:lvl>
    <w:lvl w:ilvl="6">
      <w:start w:val="0"/>
      <w:numFmt w:val="bullet"/>
      <w:lvlText w:val=""/>
      <w:lvlJc w:val="left"/>
      <w:pPr>
        <w:ind w:left="7152" w:hanging="360"/>
      </w:pPr>
      <w:rPr>
        <w:rFonts w:ascii="Symbol" w:hAnsi="Symbol" w:cs="Symbol" w:hint="default"/>
        <w:lang w:val="fr-FR" w:eastAsia="fr-FR" w:bidi="fr-FR"/>
      </w:rPr>
    </w:lvl>
    <w:lvl w:ilvl="7">
      <w:start w:val="0"/>
      <w:numFmt w:val="bullet"/>
      <w:lvlText w:val=""/>
      <w:lvlJc w:val="left"/>
      <w:pPr>
        <w:ind w:left="8054" w:hanging="360"/>
      </w:pPr>
      <w:rPr>
        <w:rFonts w:ascii="Symbol" w:hAnsi="Symbol" w:cs="Symbol" w:hint="default"/>
        <w:lang w:val="fr-FR" w:eastAsia="fr-FR" w:bidi="fr-FR"/>
      </w:rPr>
    </w:lvl>
    <w:lvl w:ilvl="8">
      <w:start w:val="0"/>
      <w:numFmt w:val="bullet"/>
      <w:lvlText w:val=""/>
      <w:lvlJc w:val="left"/>
      <w:pPr>
        <w:ind w:left="8956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w w:val="100"/>
      <w:sz w:val="26"/>
      <w:szCs w:val="26"/>
      <w:lang w:val="fr-FR" w:eastAsia="fr-FR" w:bidi="fr-FR"/>
    </w:rPr>
  </w:style>
  <w:style w:type="character" w:styleId="ListLabel2">
    <w:name w:val="ListLabel 2"/>
    <w:qFormat/>
    <w:rPr>
      <w:lang w:val="fr-FR" w:eastAsia="fr-FR" w:bidi="fr-FR"/>
    </w:rPr>
  </w:style>
  <w:style w:type="character" w:styleId="ListLabel3">
    <w:name w:val="ListLabel 3"/>
    <w:qFormat/>
    <w:rPr>
      <w:lang w:val="fr-FR" w:eastAsia="fr-FR" w:bidi="fr-FR"/>
    </w:rPr>
  </w:style>
  <w:style w:type="character" w:styleId="ListLabel4">
    <w:name w:val="ListLabel 4"/>
    <w:qFormat/>
    <w:rPr>
      <w:lang w:val="fr-FR" w:eastAsia="fr-FR" w:bidi="fr-FR"/>
    </w:rPr>
  </w:style>
  <w:style w:type="character" w:styleId="ListLabel5">
    <w:name w:val="ListLabel 5"/>
    <w:qFormat/>
    <w:rPr>
      <w:lang w:val="fr-FR" w:eastAsia="fr-FR" w:bidi="fr-FR"/>
    </w:rPr>
  </w:style>
  <w:style w:type="character" w:styleId="ListLabel6">
    <w:name w:val="ListLabel 6"/>
    <w:qFormat/>
    <w:rPr>
      <w:lang w:val="fr-FR" w:eastAsia="fr-FR" w:bidi="fr-FR"/>
    </w:rPr>
  </w:style>
  <w:style w:type="character" w:styleId="ListLabel7">
    <w:name w:val="ListLabel 7"/>
    <w:qFormat/>
    <w:rPr>
      <w:lang w:val="fr-FR" w:eastAsia="fr-FR" w:bidi="fr-FR"/>
    </w:rPr>
  </w:style>
  <w:style w:type="character" w:styleId="ListLabel8">
    <w:name w:val="ListLabel 8"/>
    <w:qFormat/>
    <w:rPr>
      <w:lang w:val="fr-FR" w:eastAsia="fr-FR" w:bidi="fr-FR"/>
    </w:rPr>
  </w:style>
  <w:style w:type="character" w:styleId="ListLabel9">
    <w:name w:val="ListLabel 9"/>
    <w:qFormat/>
    <w:rPr>
      <w:lang w:val="fr-FR" w:eastAsia="fr-FR" w:bidi="fr-FR"/>
    </w:rPr>
  </w:style>
  <w:style w:type="character" w:styleId="ListLabel10">
    <w:name w:val="ListLabel 10"/>
    <w:qFormat/>
    <w:rPr>
      <w:color w:val="00007F"/>
      <w:u w:val="single" w:color="00007F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fr-FR" w:eastAsia="fr-FR" w:bidi="fr-FR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7" w:after="0"/>
      <w:ind w:left="1736" w:right="0" w:hanging="360"/>
    </w:pPr>
    <w:rPr>
      <w:rFonts w:ascii="Arial" w:hAnsi="Arial" w:eastAsia="Arial" w:cs="Arial"/>
      <w:lang w:val="fr-FR" w:eastAsia="fr-FR" w:bidi="fr-FR"/>
    </w:rPr>
  </w:style>
  <w:style w:type="paragraph" w:styleId="TableParagraph">
    <w:name w:val="Table Paragraph"/>
    <w:basedOn w:val="Normal"/>
    <w:uiPriority w:val="1"/>
    <w:qFormat/>
    <w:pPr/>
    <w:rPr>
      <w:lang w:val="fr-FR" w:eastAsia="fr-FR" w:bidi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tact@sacenc.n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173</Words>
  <Characters>981</Characters>
  <CharactersWithSpaces>1133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2020-02-23T22:39:00Z</dcterms:created>
  <dc:creator>Ingrid Helfer</dc:creator>
  <dc:description/>
  <dc:language>fr-FR</dc:language>
  <cp:lastModifiedBy/>
  <dcterms:modified xsi:type="dcterms:W3CDTF">2020-02-24T09:39:44Z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2012-11-15T00:00:00Z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2020-02-23T00:00:00Z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